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89690">
      <w:pPr>
        <w:ind w:left="426" w:right="-17"/>
        <w:jc w:val="center"/>
        <w:rPr>
          <w:rFonts w:ascii="Arial" w:hAnsi="Arial" w:cs="Arial"/>
          <w:b/>
        </w:rPr>
      </w:pPr>
      <w:bookmarkStart w:id="0" w:name="_Hlk142658039"/>
      <w:r>
        <w:rPr>
          <w:rFonts w:ascii="Arial" w:hAnsi="Arial" w:cs="Arial"/>
          <w:b/>
        </w:rPr>
        <w:t>ANEXO VI</w:t>
      </w:r>
    </w:p>
    <w:p w14:paraId="42F7F3E9">
      <w:pPr>
        <w:ind w:left="426" w:right="-17"/>
        <w:jc w:val="center"/>
        <w:rPr>
          <w:rFonts w:ascii="Arial" w:hAnsi="Arial" w:cs="Arial"/>
          <w:b/>
        </w:rPr>
      </w:pPr>
    </w:p>
    <w:p w14:paraId="3CB06877">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29728047">
      <w:pPr>
        <w:ind w:left="426" w:right="-17"/>
        <w:jc w:val="center"/>
        <w:rPr>
          <w:rFonts w:ascii="Arial" w:hAnsi="Arial" w:cs="Arial"/>
          <w:b/>
        </w:rPr>
      </w:pPr>
    </w:p>
    <w:p w14:paraId="6BAC5342">
      <w:pPr>
        <w:ind w:left="4253" w:right="-17"/>
        <w:jc w:val="both"/>
        <w:rPr>
          <w:rFonts w:ascii="Arial" w:hAnsi="Arial" w:cs="Arial"/>
          <w:b/>
        </w:rPr>
      </w:pPr>
    </w:p>
    <w:p w14:paraId="5F8557C3">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6A7E4AC5">
      <w:pPr>
        <w:spacing w:line="276" w:lineRule="auto"/>
        <w:ind w:left="5103" w:right="-17"/>
        <w:jc w:val="both"/>
        <w:rPr>
          <w:rFonts w:ascii="Arial" w:hAnsi="Arial" w:cs="Arial"/>
          <w:b/>
        </w:rPr>
      </w:pPr>
    </w:p>
    <w:bookmarkEnd w:id="1"/>
    <w:p w14:paraId="273CD908">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33.552/2025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50</w:t>
      </w:r>
      <w:bookmarkStart w:id="4" w:name="_GoBack"/>
      <w:bookmarkEnd w:id="4"/>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3D5D9A64">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5FC4E2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hint="default" w:ascii="Arial" w:hAnsi="Arial" w:cs="Arial"/>
          <w:b/>
          <w:bCs w:val="0"/>
          <w:iCs/>
          <w:lang w:val="pt-BR" w:eastAsia="pt-BR"/>
        </w:rPr>
        <w:t>CONTRATAÇÃO de empresa(s) especializada(s) para AQUISIÇÃO DE APARELHOS E MOBILIÁRIOS, para atender as necessidades da SECRETARIA MUNICIPAL DE CIÊNCIA, TECNOLOGIA, INOVAÇÃO E DESENVOLVIMENTO ECONÔMICO, para a reabertura do Planetário,</w:t>
      </w:r>
      <w:r>
        <w:rPr>
          <w:rFonts w:ascii="Arial" w:hAnsi="Arial" w:cs="Arial"/>
          <w:bCs/>
          <w:iCs/>
        </w:rPr>
        <w:t xml:space="preserve"> nas condições estabelecidas no Termo de Referência – Anexo I do edital.</w:t>
      </w:r>
    </w:p>
    <w:p w14:paraId="633160F5">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2818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0BA34C9B">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23649532">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32FFDE7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74E62197">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77C358B">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D71667A">
            <w:pPr>
              <w:pStyle w:val="19"/>
              <w:ind w:left="0"/>
              <w:jc w:val="center"/>
              <w:rPr>
                <w:rFonts w:ascii="Arial" w:hAnsi="Arial" w:cs="Arial"/>
                <w:b/>
              </w:rPr>
            </w:pPr>
            <w:r>
              <w:rPr>
                <w:rFonts w:ascii="Arial" w:hAnsi="Arial" w:cs="Arial"/>
                <w:b/>
              </w:rPr>
              <w:t>VALOR</w:t>
            </w:r>
          </w:p>
        </w:tc>
      </w:tr>
      <w:tr w14:paraId="6C1B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06213B42">
            <w:pPr>
              <w:rPr>
                <w:rFonts w:ascii="Arial" w:hAnsi="Arial" w:cs="Arial"/>
              </w:rPr>
            </w:pPr>
          </w:p>
        </w:tc>
        <w:tc>
          <w:tcPr>
            <w:tcW w:w="606" w:type="pct"/>
            <w:vMerge w:val="continue"/>
            <w:shd w:val="clear" w:color="auto" w:fill="D8D8D8"/>
          </w:tcPr>
          <w:p w14:paraId="050DD1A6">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0F4DB5CD">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3C29CD2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7D7F711B">
            <w:pPr>
              <w:rPr>
                <w:rFonts w:ascii="Arial" w:hAnsi="Arial" w:cs="Arial"/>
              </w:rPr>
            </w:pPr>
          </w:p>
        </w:tc>
        <w:tc>
          <w:tcPr>
            <w:tcW w:w="839" w:type="pct"/>
            <w:shd w:val="clear" w:color="auto" w:fill="D8D8D8"/>
            <w:tcMar>
              <w:top w:w="0" w:type="dxa"/>
              <w:left w:w="108" w:type="dxa"/>
              <w:bottom w:w="0" w:type="dxa"/>
              <w:right w:w="108" w:type="dxa"/>
            </w:tcMar>
            <w:vAlign w:val="center"/>
          </w:tcPr>
          <w:p w14:paraId="1799C312">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6817D8FE">
            <w:pPr>
              <w:pStyle w:val="19"/>
              <w:ind w:left="0"/>
              <w:jc w:val="center"/>
              <w:rPr>
                <w:rFonts w:ascii="Arial" w:hAnsi="Arial" w:cs="Arial"/>
                <w:b/>
              </w:rPr>
            </w:pPr>
            <w:r>
              <w:rPr>
                <w:rFonts w:ascii="Arial" w:hAnsi="Arial" w:cs="Arial"/>
                <w:b/>
              </w:rPr>
              <w:t>TOTAL</w:t>
            </w:r>
          </w:p>
        </w:tc>
      </w:tr>
      <w:tr w14:paraId="64DE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EBBDE62">
            <w:pPr>
              <w:pStyle w:val="38"/>
              <w:jc w:val="center"/>
              <w:rPr>
                <w:rFonts w:ascii="Arial" w:hAnsi="Arial" w:cs="Arial"/>
                <w:b/>
              </w:rPr>
            </w:pPr>
            <w:r>
              <w:rPr>
                <w:rFonts w:ascii="Arial" w:hAnsi="Arial" w:cs="Arial"/>
                <w:b/>
              </w:rPr>
              <w:t>1</w:t>
            </w:r>
          </w:p>
        </w:tc>
        <w:tc>
          <w:tcPr>
            <w:tcW w:w="606" w:type="pct"/>
          </w:tcPr>
          <w:p w14:paraId="607BA242">
            <w:pPr>
              <w:pStyle w:val="38"/>
              <w:jc w:val="both"/>
              <w:rPr>
                <w:rFonts w:ascii="Arial" w:hAnsi="Arial" w:cs="Arial"/>
              </w:rPr>
            </w:pPr>
          </w:p>
        </w:tc>
        <w:tc>
          <w:tcPr>
            <w:tcW w:w="1328" w:type="pct"/>
            <w:tcMar>
              <w:top w:w="0" w:type="dxa"/>
              <w:left w:w="108" w:type="dxa"/>
              <w:bottom w:w="0" w:type="dxa"/>
              <w:right w:w="108" w:type="dxa"/>
            </w:tcMar>
            <w:vAlign w:val="center"/>
          </w:tcPr>
          <w:p w14:paraId="25C199BB">
            <w:pPr>
              <w:pStyle w:val="38"/>
              <w:jc w:val="both"/>
              <w:rPr>
                <w:rFonts w:ascii="Arial" w:hAnsi="Arial" w:cs="Arial"/>
              </w:rPr>
            </w:pPr>
          </w:p>
        </w:tc>
        <w:tc>
          <w:tcPr>
            <w:tcW w:w="534" w:type="pct"/>
            <w:tcMar>
              <w:top w:w="0" w:type="dxa"/>
              <w:left w:w="108" w:type="dxa"/>
              <w:bottom w:w="0" w:type="dxa"/>
              <w:right w:w="108" w:type="dxa"/>
            </w:tcMar>
            <w:vAlign w:val="center"/>
          </w:tcPr>
          <w:p w14:paraId="781CB59C">
            <w:pPr>
              <w:pStyle w:val="38"/>
              <w:jc w:val="center"/>
              <w:rPr>
                <w:rFonts w:ascii="Arial" w:hAnsi="Arial" w:cs="Arial"/>
              </w:rPr>
            </w:pPr>
          </w:p>
        </w:tc>
        <w:tc>
          <w:tcPr>
            <w:tcW w:w="583" w:type="pct"/>
            <w:tcMar>
              <w:top w:w="0" w:type="dxa"/>
              <w:left w:w="108" w:type="dxa"/>
              <w:bottom w:w="0" w:type="dxa"/>
              <w:right w:w="108" w:type="dxa"/>
            </w:tcMar>
            <w:vAlign w:val="center"/>
          </w:tcPr>
          <w:p w14:paraId="3A99094B">
            <w:pPr>
              <w:pStyle w:val="38"/>
              <w:jc w:val="center"/>
              <w:rPr>
                <w:rFonts w:ascii="Arial" w:hAnsi="Arial" w:cs="Arial"/>
                <w:b/>
              </w:rPr>
            </w:pPr>
          </w:p>
        </w:tc>
        <w:tc>
          <w:tcPr>
            <w:tcW w:w="839" w:type="pct"/>
            <w:tcMar>
              <w:top w:w="0" w:type="dxa"/>
              <w:left w:w="108" w:type="dxa"/>
              <w:bottom w:w="0" w:type="dxa"/>
              <w:right w:w="108" w:type="dxa"/>
            </w:tcMar>
            <w:vAlign w:val="center"/>
          </w:tcPr>
          <w:p w14:paraId="20FCE032">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39E7C314">
            <w:pPr>
              <w:pStyle w:val="38"/>
              <w:spacing w:after="0" w:line="240" w:lineRule="auto"/>
              <w:jc w:val="right"/>
              <w:rPr>
                <w:rFonts w:ascii="Arial" w:hAnsi="Arial" w:cs="Arial"/>
                <w:b/>
                <w:bCs/>
              </w:rPr>
            </w:pPr>
          </w:p>
        </w:tc>
      </w:tr>
      <w:tr w14:paraId="21EC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1438EE87">
            <w:pPr>
              <w:pStyle w:val="38"/>
              <w:jc w:val="center"/>
              <w:rPr>
                <w:rFonts w:ascii="Arial" w:hAnsi="Arial" w:cs="Arial"/>
                <w:b/>
              </w:rPr>
            </w:pPr>
            <w:r>
              <w:rPr>
                <w:rFonts w:ascii="Arial" w:hAnsi="Arial" w:cs="Arial"/>
                <w:b/>
              </w:rPr>
              <w:t>…</w:t>
            </w:r>
          </w:p>
        </w:tc>
        <w:tc>
          <w:tcPr>
            <w:tcW w:w="606" w:type="pct"/>
          </w:tcPr>
          <w:p w14:paraId="00015F7D">
            <w:pPr>
              <w:pStyle w:val="38"/>
              <w:jc w:val="both"/>
              <w:rPr>
                <w:rFonts w:ascii="Arial" w:hAnsi="Arial" w:cs="Arial"/>
              </w:rPr>
            </w:pPr>
          </w:p>
        </w:tc>
        <w:tc>
          <w:tcPr>
            <w:tcW w:w="1328" w:type="pct"/>
            <w:tcMar>
              <w:top w:w="0" w:type="dxa"/>
              <w:left w:w="108" w:type="dxa"/>
              <w:bottom w:w="0" w:type="dxa"/>
              <w:right w:w="108" w:type="dxa"/>
            </w:tcMar>
            <w:vAlign w:val="center"/>
          </w:tcPr>
          <w:p w14:paraId="2490CCA1">
            <w:pPr>
              <w:pStyle w:val="38"/>
              <w:jc w:val="both"/>
              <w:rPr>
                <w:rFonts w:ascii="Arial" w:hAnsi="Arial" w:cs="Arial"/>
              </w:rPr>
            </w:pPr>
          </w:p>
        </w:tc>
        <w:tc>
          <w:tcPr>
            <w:tcW w:w="534" w:type="pct"/>
            <w:tcMar>
              <w:top w:w="0" w:type="dxa"/>
              <w:left w:w="108" w:type="dxa"/>
              <w:bottom w:w="0" w:type="dxa"/>
              <w:right w:w="108" w:type="dxa"/>
            </w:tcMar>
            <w:vAlign w:val="center"/>
          </w:tcPr>
          <w:p w14:paraId="2222AADD">
            <w:pPr>
              <w:pStyle w:val="38"/>
              <w:jc w:val="center"/>
              <w:rPr>
                <w:rFonts w:ascii="Arial" w:hAnsi="Arial" w:cs="Arial"/>
              </w:rPr>
            </w:pPr>
          </w:p>
        </w:tc>
        <w:tc>
          <w:tcPr>
            <w:tcW w:w="583" w:type="pct"/>
            <w:tcMar>
              <w:top w:w="0" w:type="dxa"/>
              <w:left w:w="108" w:type="dxa"/>
              <w:bottom w:w="0" w:type="dxa"/>
              <w:right w:w="108" w:type="dxa"/>
            </w:tcMar>
            <w:vAlign w:val="center"/>
          </w:tcPr>
          <w:p w14:paraId="59729480">
            <w:pPr>
              <w:pStyle w:val="38"/>
              <w:jc w:val="center"/>
              <w:rPr>
                <w:rFonts w:ascii="Arial" w:hAnsi="Arial" w:cs="Arial"/>
                <w:b/>
              </w:rPr>
            </w:pPr>
          </w:p>
        </w:tc>
        <w:tc>
          <w:tcPr>
            <w:tcW w:w="839" w:type="pct"/>
            <w:tcMar>
              <w:top w:w="0" w:type="dxa"/>
              <w:left w:w="108" w:type="dxa"/>
              <w:bottom w:w="0" w:type="dxa"/>
              <w:right w:w="108" w:type="dxa"/>
            </w:tcMar>
            <w:vAlign w:val="center"/>
          </w:tcPr>
          <w:p w14:paraId="11B38925">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2F56B8DF">
            <w:pPr>
              <w:pStyle w:val="38"/>
              <w:spacing w:after="0" w:line="240" w:lineRule="auto"/>
              <w:jc w:val="right"/>
              <w:rPr>
                <w:rFonts w:ascii="Arial" w:hAnsi="Arial" w:cs="Arial"/>
                <w:b/>
                <w:bCs/>
              </w:rPr>
            </w:pPr>
          </w:p>
        </w:tc>
      </w:tr>
    </w:tbl>
    <w:p w14:paraId="0E8F99D7">
      <w:pPr>
        <w:pStyle w:val="19"/>
        <w:widowControl/>
        <w:tabs>
          <w:tab w:val="left" w:pos="426"/>
        </w:tabs>
        <w:autoSpaceDE/>
        <w:autoSpaceDN/>
        <w:spacing w:before="120" w:after="120" w:line="276" w:lineRule="auto"/>
        <w:ind w:left="0"/>
        <w:jc w:val="both"/>
        <w:rPr>
          <w:rFonts w:ascii="Arial" w:hAnsi="Arial" w:cs="Arial"/>
          <w:iCs/>
        </w:rPr>
      </w:pPr>
    </w:p>
    <w:p w14:paraId="556420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640DFA3D">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6F3BCAF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373A7013">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0DCF7DD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19A5AD83">
      <w:pPr>
        <w:pStyle w:val="19"/>
        <w:widowControl/>
        <w:tabs>
          <w:tab w:val="left" w:pos="426"/>
        </w:tabs>
        <w:autoSpaceDE/>
        <w:autoSpaceDN/>
        <w:spacing w:before="120" w:after="120" w:line="276" w:lineRule="auto"/>
        <w:ind w:left="862"/>
        <w:jc w:val="both"/>
        <w:rPr>
          <w:rFonts w:ascii="Arial" w:hAnsi="Arial" w:cs="Arial"/>
          <w:bCs/>
        </w:rPr>
      </w:pPr>
    </w:p>
    <w:p w14:paraId="25858475">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0FF19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5771DF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38F180B0">
      <w:pPr>
        <w:pStyle w:val="19"/>
        <w:widowControl/>
        <w:tabs>
          <w:tab w:val="left" w:pos="426"/>
        </w:tabs>
        <w:autoSpaceDE/>
        <w:autoSpaceDN/>
        <w:spacing w:before="120" w:after="120" w:line="276" w:lineRule="auto"/>
        <w:ind w:left="0"/>
        <w:jc w:val="both"/>
        <w:rPr>
          <w:rFonts w:ascii="Arial" w:hAnsi="Arial" w:cs="Arial"/>
          <w:bCs/>
          <w:iCs/>
          <w:color w:val="FF0000"/>
        </w:rPr>
      </w:pPr>
    </w:p>
    <w:p w14:paraId="26F06A07">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1956F48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14:paraId="4B08DD4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prazo de entrega/execução é de 45 (quarenta e cinco) dias corridos, contados do dia seguinte ao recebimento da Nota de Empenho, Autorização de fornecimento ou documento equivalente.</w:t>
      </w:r>
    </w:p>
    <w:p w14:paraId="2370D7C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015A0C17">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Cs/>
          <w:iCs/>
          <w:lang w:val="pt-BR"/>
        </w:rPr>
        <w:t xml:space="preserve">3.1.3 Os bens deverão ser entregues na sede do Planetário, </w:t>
      </w:r>
      <w:r>
        <w:rPr>
          <w:rFonts w:hint="default" w:ascii="Arial" w:hAnsi="Arial" w:cs="Arial"/>
          <w:b/>
          <w:bCs w:val="0"/>
          <w:iCs/>
          <w:lang w:val="pt-BR"/>
        </w:rPr>
        <w:t>no seguinte endereço: Rua José Pires Barroso, s/n - Olaria, Nova Friburgo/RJ - CEP: 28620-075 de Segunda a Sexta-feira, no horário de 9h às 17h.</w:t>
      </w:r>
    </w:p>
    <w:p w14:paraId="411FFB6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bens serão recebidos provisoriamente, de forma sumária, no prazo máximo de 45 (quarenta e cinco) dias corridos, após a homologação do contrato, pelo(a) responsável pelo acompanhamento e fiscalização do contrato, para efeito de posterior verificação de sua conformidade com as especificações constantes no Termo de Referência e na proposta.</w:t>
      </w:r>
    </w:p>
    <w:p w14:paraId="6B7DBE1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poderão ser rejeitados, no todo ou em parte, quando em desacordo com as especificações constantes no Termo de Referência e na proposta, devendo ser substituídos no prazo de 10 (dez) dias corridos, a contar da notificação da contratada, às suas custas, sem prejuízo da aplicação das penalidades.</w:t>
      </w:r>
    </w:p>
    <w:p w14:paraId="5B727B75">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0BA430A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bens serão recebidos definitivamente no prazo de 60 (sessenta) dias, contados do recebimento provisório, após a verificação da qualidade e quantidade do material e consequente aceitação mediante termo detalhado.</w:t>
      </w:r>
    </w:p>
    <w:p w14:paraId="0ECF386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14:paraId="3CA2E2B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14:paraId="6525218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Os materiais deverão ter garantia, no mínimo, de 12 (meses), contados da data do recebimento definitivo, nos termos da legislação vigente.</w:t>
      </w:r>
    </w:p>
    <w:p w14:paraId="1D611DA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O prazo de garantia contratual dos bens, complementar à garantia legal, é de, no mínimo, 12 (doze) meses, ou pelo prazo fornecido pelo fabricante, se superior, contado a partir do primeiro dia útil subsequente à data do recebimento definitivo do objeto.</w:t>
      </w:r>
    </w:p>
    <w:p w14:paraId="664CBA3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A garantia será prestada com vistas a manter os equipamentos fornecidos em perfeitas condições de uso, sem qualquer ônus ou custo adicional para o Contratante.</w:t>
      </w:r>
    </w:p>
    <w:p w14:paraId="6DE7E68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A garantia abrange a realização da manutenção corretiva dos bens pelo próprio Contratado, ou, se for o caso, por meio de assistência técnica autorizada, de acordo com as normas técnicas específicas.</w:t>
      </w:r>
    </w:p>
    <w:p w14:paraId="3BA6829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3.1.13 Entende-se por manutenção corretiva aquela destinada a corrigir os defeitos apresentados pelos bens, compreendendo a substituição de peças, a realização de ajustes, reparos e correções necessárias.</w:t>
      </w:r>
    </w:p>
    <w:p w14:paraId="5A617AB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C85F29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3.1.15 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28DE37F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3.1.16 O prazo indicado no subitem anterior, durante seu transcurso, poderá ser prorrogado uma única vez, por igual período, mediante solicitação escrita e justificada do Contratado, aceita pelo Contratante.</w:t>
      </w:r>
    </w:p>
    <w:p w14:paraId="4D3551B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206A4E6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3.1.18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76A7FB5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3.1.19 O custo referente ao transporte dos equipamentos cobertos pela garantia será de responsabilidade do Contratado.</w:t>
      </w:r>
    </w:p>
    <w:p w14:paraId="7081011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3.1.20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1F3157F">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14:paraId="14285BE7">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contrato deverá ser executado fielmente pelas partes, de acordo com as cláusulas avençadas e as normas da Lei nº 14.133, de 2021, e cada parte responderá pelas consequências de sua inexecução total ou parcial (Lei nº 14.133/2021, art. 115, caput).</w:t>
      </w:r>
    </w:p>
    <w:p w14:paraId="3F69D47B">
      <w:pPr>
        <w:bidi w:val="0"/>
        <w:jc w:val="both"/>
        <w:rPr>
          <w:rFonts w:hint="default" w:ascii="Arial" w:hAnsi="Arial" w:cs="Arial"/>
          <w:bCs/>
          <w:iCs/>
          <w:lang w:val="pt-BR"/>
        </w:rPr>
      </w:pPr>
    </w:p>
    <w:p w14:paraId="24FAD7B3">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.2</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Em caso de impedimento, ordem de paralisação ou suspensão do contrato, o cronograma de execução será prorrogado automaticamente pelo tempo correspondente, anotadas tais circunstâncias mediante simples apostila (Lei nº 14.133/2021, art. 115, §5º).</w:t>
      </w:r>
    </w:p>
    <w:p w14:paraId="1687C367">
      <w:pPr>
        <w:bidi w:val="0"/>
        <w:jc w:val="both"/>
        <w:rPr>
          <w:rFonts w:hint="default" w:ascii="Arial" w:hAnsi="Arial" w:eastAsia="Verdana" w:cs="Arial"/>
          <w:bCs/>
          <w:iCs/>
          <w:sz w:val="22"/>
          <w:szCs w:val="22"/>
          <w:lang w:val="pt-BR" w:eastAsia="en-US" w:bidi="ar-SA"/>
        </w:rPr>
      </w:pPr>
    </w:p>
    <w:p w14:paraId="77521D0F">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.3</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54B3D25">
      <w:pPr>
        <w:bidi w:val="0"/>
        <w:jc w:val="both"/>
        <w:rPr>
          <w:rFonts w:hint="default" w:ascii="Arial" w:hAnsi="Arial" w:eastAsia="Verdana" w:cs="Arial"/>
          <w:bCs/>
          <w:iCs/>
          <w:sz w:val="22"/>
          <w:szCs w:val="22"/>
          <w:lang w:val="pt-BR" w:eastAsia="en-US" w:bidi="ar-SA"/>
        </w:rPr>
      </w:pPr>
    </w:p>
    <w:p w14:paraId="6E708365">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.4</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Somente o contratado será responsável pelos encargos trabalhistas, previdenciários, fiscais e comerciais resultantes da execução do contrato (Lei nº 14.133/2021, art. 121, caput).</w:t>
      </w:r>
    </w:p>
    <w:p w14:paraId="466286A6">
      <w:pPr>
        <w:bidi w:val="0"/>
        <w:jc w:val="both"/>
        <w:rPr>
          <w:rFonts w:hint="default" w:ascii="Arial" w:hAnsi="Arial" w:eastAsia="Verdana" w:cs="Arial"/>
          <w:bCs/>
          <w:iCs/>
          <w:sz w:val="22"/>
          <w:szCs w:val="22"/>
          <w:lang w:val="pt-BR" w:eastAsia="en-US" w:bidi="ar-SA"/>
        </w:rPr>
      </w:pPr>
    </w:p>
    <w:p w14:paraId="7342D2B2">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.5</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A inadimplência do contratado em relação aos encargos trabalhistas, fiscais e comerciais não transferirá à Administração a responsabilidade pelo seu pagamento e não poderá onerar o objeto do contrato (Lei nº 14.133/2021, art. 121, §1º).</w:t>
      </w:r>
    </w:p>
    <w:p w14:paraId="4C124442">
      <w:pPr>
        <w:bidi w:val="0"/>
        <w:jc w:val="both"/>
        <w:rPr>
          <w:rFonts w:hint="default" w:ascii="Arial" w:hAnsi="Arial" w:eastAsia="Verdana" w:cs="Arial"/>
          <w:bCs/>
          <w:iCs/>
          <w:sz w:val="22"/>
          <w:szCs w:val="22"/>
          <w:lang w:val="pt-BR" w:eastAsia="en-US" w:bidi="ar-SA"/>
        </w:rPr>
      </w:pPr>
    </w:p>
    <w:p w14:paraId="716735C8">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.6</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As comunicações entre o órgão ou entidade e a contratada devem ser realizadas por escrito sempre que o ato exigir tal formalidade, admitindo-se, excepcionalmente, o uso de mensagem eletrônica para esse fim.</w:t>
      </w:r>
    </w:p>
    <w:p w14:paraId="7D615623">
      <w:pPr>
        <w:bidi w:val="0"/>
        <w:jc w:val="both"/>
        <w:rPr>
          <w:rFonts w:hint="default" w:ascii="Arial" w:hAnsi="Arial" w:eastAsia="Verdana" w:cs="Arial"/>
          <w:bCs/>
          <w:iCs/>
          <w:sz w:val="22"/>
          <w:szCs w:val="22"/>
          <w:lang w:val="pt-BR" w:eastAsia="en-US" w:bidi="ar-SA"/>
        </w:rPr>
      </w:pPr>
    </w:p>
    <w:p w14:paraId="2110F1CA">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.7</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órgão ou entidade poderá convocar representante da empresa para adoção de providências que devam ser cumpridas de imediato.</w:t>
      </w:r>
    </w:p>
    <w:p w14:paraId="37DDF75F">
      <w:pPr>
        <w:bidi w:val="0"/>
        <w:jc w:val="both"/>
        <w:rPr>
          <w:rFonts w:hint="default" w:ascii="Arial" w:hAnsi="Arial" w:eastAsia="Verdana" w:cs="Arial"/>
          <w:bCs/>
          <w:iCs/>
          <w:sz w:val="22"/>
          <w:szCs w:val="22"/>
          <w:lang w:val="pt-BR" w:eastAsia="en-US" w:bidi="ar-SA"/>
        </w:rPr>
      </w:pPr>
    </w:p>
    <w:p w14:paraId="4776594A">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.8</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AF14CFF">
      <w:pPr>
        <w:bidi w:val="0"/>
        <w:jc w:val="both"/>
        <w:rPr>
          <w:rFonts w:hint="default" w:ascii="Arial" w:hAnsi="Arial" w:eastAsia="Verdana" w:cs="Arial"/>
          <w:bCs/>
          <w:iCs/>
          <w:sz w:val="22"/>
          <w:szCs w:val="22"/>
          <w:lang w:val="pt-BR" w:eastAsia="en-US" w:bidi="ar-SA"/>
        </w:rPr>
      </w:pPr>
    </w:p>
    <w:p w14:paraId="44137341">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.9</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14.133/21.</w:t>
      </w:r>
    </w:p>
    <w:p w14:paraId="1151E8B7">
      <w:pPr>
        <w:bidi w:val="0"/>
        <w:jc w:val="both"/>
        <w:rPr>
          <w:rFonts w:hint="default" w:ascii="Arial" w:hAnsi="Arial" w:eastAsia="Verdana" w:cs="Arial"/>
          <w:bCs/>
          <w:iCs/>
          <w:sz w:val="22"/>
          <w:szCs w:val="22"/>
          <w:lang w:val="pt-BR" w:eastAsia="en-US" w:bidi="ar-SA"/>
        </w:rPr>
      </w:pPr>
    </w:p>
    <w:p w14:paraId="3C671815">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.10</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A execução do contrato deverá ser acompanhada e fiscalizada pelo(s) fiscal(is) do contrato, ou pelos respectivos substitutos (Lei nº 14.133/2021, art. 117, caput).</w:t>
      </w:r>
    </w:p>
    <w:p w14:paraId="443A803C">
      <w:pPr>
        <w:bidi w:val="0"/>
        <w:jc w:val="both"/>
        <w:rPr>
          <w:rFonts w:hint="default" w:ascii="Arial" w:hAnsi="Arial" w:eastAsia="Verdana" w:cs="Arial"/>
          <w:bCs/>
          <w:iCs/>
          <w:sz w:val="22"/>
          <w:szCs w:val="22"/>
          <w:lang w:val="pt-BR" w:eastAsia="en-US" w:bidi="ar-SA"/>
        </w:rPr>
      </w:pPr>
    </w:p>
    <w:p w14:paraId="6357501C">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.11</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Para o acompanhamento, gestão e fiscalização da execução do presente contrato, serão designados em momento posterior, antes da execução do objeto, agentes públicos gestor/gestor substituto e fiscal/ fiscal substituto.</w:t>
      </w:r>
    </w:p>
    <w:p w14:paraId="46CD3E9C">
      <w:pPr>
        <w:bidi w:val="0"/>
        <w:jc w:val="both"/>
        <w:rPr>
          <w:rFonts w:hint="default" w:ascii="Arial" w:hAnsi="Arial" w:eastAsia="Verdana" w:cs="Arial"/>
          <w:bCs/>
          <w:iCs/>
          <w:sz w:val="22"/>
          <w:szCs w:val="22"/>
          <w:lang w:val="pt-BR" w:eastAsia="en-US" w:bidi="ar-SA"/>
        </w:rPr>
      </w:pPr>
    </w:p>
    <w:p w14:paraId="22772016">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.11.1</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 (Lei nº 14.133/2021, art. 117, §1º).</w:t>
      </w:r>
    </w:p>
    <w:p w14:paraId="2EF21AE1">
      <w:pPr>
        <w:bidi w:val="0"/>
        <w:jc w:val="both"/>
        <w:rPr>
          <w:rFonts w:hint="default" w:ascii="Arial" w:hAnsi="Arial" w:cs="Arial"/>
          <w:bCs/>
          <w:iCs/>
          <w:lang w:val="pt-BR"/>
        </w:rPr>
      </w:pPr>
    </w:p>
    <w:p w14:paraId="0FAB4418">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.11.2</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fiscal do contrato informará a seus superiores, em tempo hábil para a adoção das medidas convenientes, a situação que demandar decisão ou providência que ultrapasse sua competência (Lei nº 14.133/2021, art. 117, §2º).</w:t>
      </w:r>
    </w:p>
    <w:p w14:paraId="660403AA">
      <w:pPr>
        <w:bidi w:val="0"/>
        <w:jc w:val="both"/>
        <w:rPr>
          <w:rFonts w:hint="default" w:ascii="Arial" w:hAnsi="Arial" w:eastAsia="Verdana" w:cs="Arial"/>
          <w:bCs/>
          <w:iCs/>
          <w:sz w:val="22"/>
          <w:szCs w:val="22"/>
          <w:lang w:val="pt-BR" w:eastAsia="en-US" w:bidi="ar-SA"/>
        </w:rPr>
      </w:pPr>
    </w:p>
    <w:p w14:paraId="74ABBA84">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.12</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33C1816E">
      <w:pPr>
        <w:bidi w:val="0"/>
        <w:jc w:val="both"/>
        <w:rPr>
          <w:rFonts w:hint="default" w:ascii="Arial" w:hAnsi="Arial" w:eastAsia="Verdana" w:cs="Arial"/>
          <w:bCs/>
          <w:iCs/>
          <w:sz w:val="22"/>
          <w:szCs w:val="22"/>
          <w:lang w:val="pt-BR" w:eastAsia="en-US" w:bidi="ar-SA"/>
        </w:rPr>
      </w:pPr>
    </w:p>
    <w:p w14:paraId="0D8C524D">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.13</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O(s) fiscal(is) designado pela Contratante deverá ter a experiência necessária para o acompanhamento e controle da execução dos serviços e do contrato;</w:t>
      </w:r>
    </w:p>
    <w:p w14:paraId="7228353C">
      <w:pPr>
        <w:bidi w:val="0"/>
        <w:jc w:val="both"/>
        <w:rPr>
          <w:rFonts w:hint="default" w:ascii="Arial" w:hAnsi="Arial" w:eastAsia="Verdana" w:cs="Arial"/>
          <w:bCs/>
          <w:iCs/>
          <w:sz w:val="22"/>
          <w:szCs w:val="22"/>
          <w:lang w:val="pt-BR" w:eastAsia="en-US" w:bidi="ar-SA"/>
        </w:rPr>
      </w:pPr>
    </w:p>
    <w:p w14:paraId="4B55448B">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.14</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A verificação da adequação da prestação do serviço deverá ser realizada com base nos critérios previstos n</w:t>
      </w:r>
      <w:r>
        <w:rPr>
          <w:rFonts w:hint="default" w:ascii="Arial" w:hAnsi="Arial" w:cs="Arial"/>
          <w:bCs/>
          <w:iCs/>
          <w:sz w:val="22"/>
          <w:szCs w:val="22"/>
          <w:lang w:val="pt-BR" w:eastAsia="en-US" w:bidi="ar-SA"/>
        </w:rPr>
        <w:t>o</w:t>
      </w:r>
      <w:r>
        <w:rPr>
          <w:rFonts w:hint="default" w:ascii="Arial" w:hAnsi="Arial" w:eastAsia="Verdana" w:cs="Arial"/>
          <w:bCs/>
          <w:iCs/>
          <w:sz w:val="22"/>
          <w:szCs w:val="22"/>
          <w:lang w:val="pt-BR" w:eastAsia="en-US" w:bidi="ar-SA"/>
        </w:rPr>
        <w:t xml:space="preserve"> Termo de Referência;</w:t>
      </w:r>
    </w:p>
    <w:p w14:paraId="668707FB">
      <w:pPr>
        <w:bidi w:val="0"/>
        <w:jc w:val="both"/>
        <w:rPr>
          <w:rFonts w:hint="default" w:ascii="Arial" w:hAnsi="Arial" w:eastAsia="Verdana" w:cs="Arial"/>
          <w:bCs/>
          <w:iCs/>
          <w:sz w:val="22"/>
          <w:szCs w:val="22"/>
          <w:lang w:val="pt-BR" w:eastAsia="en-US" w:bidi="ar-SA"/>
        </w:rPr>
      </w:pPr>
    </w:p>
    <w:p w14:paraId="24E06316">
      <w:pPr>
        <w:bidi w:val="0"/>
        <w:jc w:val="both"/>
        <w:rPr>
          <w:rFonts w:hint="default" w:ascii="Arial" w:hAnsi="Arial" w:eastAsia="Verdana" w:cs="Arial"/>
          <w:bCs/>
          <w:iCs/>
          <w:sz w:val="22"/>
          <w:szCs w:val="22"/>
          <w:lang w:val="pt-BR" w:eastAsia="en-US" w:bidi="ar-SA"/>
        </w:rPr>
      </w:pPr>
      <w:r>
        <w:rPr>
          <w:rFonts w:hint="default" w:ascii="Arial" w:hAnsi="Arial" w:cs="Arial"/>
          <w:bCs/>
          <w:iCs/>
          <w:lang w:val="pt-BR"/>
        </w:rPr>
        <w:t>3.2</w:t>
      </w:r>
      <w:r>
        <w:rPr>
          <w:rFonts w:hint="default" w:ascii="Arial" w:hAnsi="Arial" w:eastAsia="Verdana" w:cs="Arial"/>
          <w:bCs/>
          <w:iCs/>
          <w:sz w:val="22"/>
          <w:szCs w:val="22"/>
          <w:lang w:val="pt-BR" w:eastAsia="en-US" w:bidi="ar-SA"/>
        </w:rPr>
        <w:t>.15</w:t>
      </w:r>
      <w:r>
        <w:rPr>
          <w:rFonts w:hint="default" w:ascii="Arial" w:hAnsi="Arial" w:cs="Arial"/>
          <w:bCs/>
          <w:iCs/>
          <w:sz w:val="22"/>
          <w:szCs w:val="22"/>
          <w:lang w:val="pt-BR" w:eastAsia="en-US" w:bidi="ar-SA"/>
        </w:rPr>
        <w:t xml:space="preserve"> </w:t>
      </w:r>
      <w:r>
        <w:rPr>
          <w:rFonts w:hint="default" w:ascii="Arial" w:hAnsi="Arial" w:eastAsia="Verdana" w:cs="Arial"/>
          <w:bCs/>
          <w:iCs/>
          <w:sz w:val="22"/>
          <w:szCs w:val="22"/>
          <w:lang w:val="pt-BR" w:eastAsia="en-US" w:bidi="ar-SA"/>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1E754F84">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4E5F74F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42DCEF0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7280A239">
      <w:pPr>
        <w:pStyle w:val="19"/>
        <w:widowControl/>
        <w:tabs>
          <w:tab w:val="left" w:pos="426"/>
        </w:tabs>
        <w:autoSpaceDE/>
        <w:autoSpaceDN/>
        <w:spacing w:before="120" w:after="120" w:line="276" w:lineRule="auto"/>
        <w:ind w:left="0"/>
        <w:jc w:val="both"/>
        <w:rPr>
          <w:rFonts w:ascii="Arial" w:hAnsi="Arial" w:cs="Arial"/>
          <w:bCs/>
          <w:i/>
          <w:iCs/>
          <w:color w:val="FF0000"/>
        </w:rPr>
      </w:pPr>
    </w:p>
    <w:p w14:paraId="49C1F2C5">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FE9D8A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680F52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0B0AC72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0C7DE27E">
      <w:pPr>
        <w:pStyle w:val="19"/>
        <w:widowControl/>
        <w:tabs>
          <w:tab w:val="left" w:pos="426"/>
        </w:tabs>
        <w:autoSpaceDE/>
        <w:autoSpaceDN/>
        <w:spacing w:before="120" w:after="120" w:line="276" w:lineRule="auto"/>
        <w:ind w:left="0"/>
        <w:jc w:val="both"/>
        <w:rPr>
          <w:rFonts w:ascii="Arial" w:hAnsi="Arial" w:cs="Arial"/>
          <w:bCs/>
          <w:i/>
          <w:color w:val="FF0000"/>
        </w:rPr>
      </w:pPr>
    </w:p>
    <w:p w14:paraId="341450E2">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155CA94B">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cs="Arial" w:eastAsiaTheme="majorEastAsia"/>
          <w:b w:val="0"/>
          <w:bCs w:val="0"/>
          <w:lang w:val="en-US" w:eastAsia="pt-BR"/>
        </w:rPr>
        <w:t xml:space="preserve">6.1 </w:t>
      </w:r>
      <w:r>
        <w:rPr>
          <w:rFonts w:hint="default" w:ascii="Arial" w:hAnsi="Arial" w:eastAsiaTheme="majorEastAsia"/>
          <w:b w:val="0"/>
          <w:bCs w:val="0"/>
          <w:lang w:val="en-US" w:eastAsia="pt-BR"/>
        </w:rPr>
        <w:t>A Nota Fiscal deverá ser emitida em nome de: Município de Nova Friburgo, CNPJ: 28.606.30/0001-23, ENDEREÇO: Avenida Alberto Braune, nº 225 - Centro - Nova Friburgo/RJ CEP: 28.613-001 .</w:t>
      </w:r>
    </w:p>
    <w:p w14:paraId="27F58EDF">
      <w:pPr>
        <w:pStyle w:val="19"/>
        <w:tabs>
          <w:tab w:val="left" w:pos="284"/>
        </w:tabs>
        <w:spacing w:line="276" w:lineRule="auto"/>
        <w:ind w:left="0"/>
        <w:jc w:val="both"/>
        <w:rPr>
          <w:rFonts w:hint="default" w:ascii="Arial" w:hAnsi="Arial" w:eastAsiaTheme="majorEastAsia"/>
          <w:b/>
          <w:bCs/>
          <w:lang w:val="en-US" w:eastAsia="pt-BR"/>
        </w:rPr>
      </w:pPr>
      <w:r>
        <w:rPr>
          <w:rFonts w:hint="default" w:ascii="Arial" w:hAnsi="Arial" w:eastAsiaTheme="majorEastAsia"/>
          <w:b w:val="0"/>
          <w:bCs w:val="0"/>
          <w:lang w:val="en-US" w:eastAsia="pt-BR"/>
        </w:rPr>
        <w:t xml:space="preserve">6.2 Todos os materiais deverão ser entregues à sede do Planetário de Nova Friburgo, situada à </w:t>
      </w:r>
      <w:r>
        <w:rPr>
          <w:rFonts w:hint="default" w:ascii="Arial" w:hAnsi="Arial" w:eastAsiaTheme="majorEastAsia"/>
          <w:b/>
          <w:bCs/>
          <w:lang w:val="en-US" w:eastAsia="pt-BR"/>
        </w:rPr>
        <w:t>Rua José Pires Barroso, s/n - Olaria, Nova Friburgo/RJ - CEP: 28620-075 de Segunda a Sexta-feira, no horário de 9h às 12h.</w:t>
      </w:r>
    </w:p>
    <w:p w14:paraId="59BC4A42">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 xml:space="preserve">6.3 </w:t>
      </w:r>
      <w:r>
        <w:rPr>
          <w:rFonts w:hint="default" w:ascii="Arial" w:hAnsi="Arial" w:eastAsiaTheme="majorEastAsia"/>
          <w:b w:val="0"/>
          <w:bCs w:val="0"/>
          <w:u w:val="single"/>
          <w:lang w:val="en-US" w:eastAsia="pt-BR"/>
        </w:rPr>
        <w:t>Da liquidação da despesa:</w:t>
      </w:r>
    </w:p>
    <w:p w14:paraId="39CDF87E">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6.3.1 A liquidação será realizada pela Secretaria Municipal de Fazenda, a partir do cumprimento das obrigações elencadas no Termo de Referência, em obediência ao Decreto nº 2493, de 07 de novembro de 2023, https://pmnf.rj.gov.br/paginas-centralizadas/9_64_Legislacoes.html.</w:t>
      </w:r>
    </w:p>
    <w:p w14:paraId="6036EC39">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6.3.2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14:paraId="4EB31F4B">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 xml:space="preserve">6.4 </w:t>
      </w:r>
      <w:r>
        <w:rPr>
          <w:rFonts w:hint="default" w:ascii="Arial" w:hAnsi="Arial" w:eastAsiaTheme="majorEastAsia"/>
          <w:b w:val="0"/>
          <w:bCs w:val="0"/>
          <w:u w:val="single"/>
          <w:lang w:val="en-US" w:eastAsia="pt-BR"/>
        </w:rPr>
        <w:t>Do pagamento da despesa:</w:t>
      </w:r>
    </w:p>
    <w:p w14:paraId="782D1757">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6.4.1 O pagamento será efetuado conforme estabelecido no Decreto Municipal nº 2493, de 07 de novembro de 2023, desde que as certidões listadas abaixo estejam dentro da validade:</w:t>
      </w:r>
    </w:p>
    <w:p w14:paraId="093EB4DF">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Negativa de Débitos Trabalhistas; Fazenda Federal – abrange as contribuições sociais; FGTS; PGE – referente à Dívida Ativa Estadual; Municipal – referente ao ISS e Dívida Ativa; Estadual CND – referente ao ICMS.</w:t>
      </w:r>
    </w:p>
    <w:p w14:paraId="5497BC6A">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6.4.2 A Nota Fiscal deverá conter a identificação do Banco, número da Agência e da Conta Corrente, para que possibilite o CONTRATANTE efetuar o pagamento do valor devido;</w:t>
      </w:r>
    </w:p>
    <w:p w14:paraId="6482B69D">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6.4.3 Na ocorrência de rejeição da(s) Nota(s) Fiscal (s), motivada por erro ou incorreções, o prazo para pagamento estipulado acima passará a ser contado a partir da data de sua reapresentação.</w:t>
      </w:r>
    </w:p>
    <w:p w14:paraId="31F8DD87">
      <w:pPr>
        <w:pStyle w:val="19"/>
        <w:tabs>
          <w:tab w:val="left" w:pos="284"/>
        </w:tabs>
        <w:spacing w:line="276" w:lineRule="auto"/>
        <w:ind w:left="0"/>
        <w:jc w:val="both"/>
        <w:rPr>
          <w:rFonts w:hint="default" w:ascii="Arial" w:hAnsi="Arial" w:eastAsiaTheme="majorEastAsia"/>
          <w:b w:val="0"/>
          <w:bCs w:val="0"/>
          <w:lang w:val="en-US" w:eastAsia="pt-BR"/>
        </w:rPr>
      </w:pPr>
      <w:r>
        <w:rPr>
          <w:rFonts w:hint="default" w:ascii="Arial" w:hAnsi="Arial" w:eastAsiaTheme="majorEastAsia"/>
          <w:b w:val="0"/>
          <w:bCs w:val="0"/>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DE9D3C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eastAsiaTheme="majorEastAsia"/>
          <w:b w:val="0"/>
          <w:bCs w:val="0"/>
          <w:lang w:val="en-US" w:eastAsia="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1D3B5B57">
      <w:pPr>
        <w:pStyle w:val="19"/>
        <w:tabs>
          <w:tab w:val="left" w:pos="284"/>
        </w:tabs>
        <w:spacing w:line="276" w:lineRule="auto"/>
        <w:ind w:left="0"/>
        <w:jc w:val="both"/>
        <w:rPr>
          <w:rFonts w:hint="default" w:ascii="Arial" w:hAnsi="Arial" w:cs="Arial" w:eastAsiaTheme="majorEastAsia"/>
          <w:b w:val="0"/>
          <w:bCs w:val="0"/>
          <w:lang w:val="en-US" w:eastAsia="pt-BR"/>
        </w:rPr>
      </w:pPr>
    </w:p>
    <w:p w14:paraId="0816D6F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1A99B9E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35E396F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7E92BEE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663786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C4083A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507F4D0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2A973C6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1CCEBC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09A9F43A">
      <w:pPr>
        <w:widowControl/>
        <w:tabs>
          <w:tab w:val="left" w:pos="426"/>
        </w:tabs>
        <w:autoSpaceDE/>
        <w:autoSpaceDN/>
        <w:spacing w:before="120" w:after="120" w:line="276" w:lineRule="auto"/>
        <w:jc w:val="both"/>
        <w:rPr>
          <w:rFonts w:ascii="Arial" w:hAnsi="Arial" w:cs="Arial"/>
          <w:bCs/>
          <w:i/>
          <w:color w:val="FF0000"/>
        </w:rPr>
      </w:pPr>
    </w:p>
    <w:p w14:paraId="5CD3C825">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D5D972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4D6A278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56945C2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52ABDF5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5395895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0369ED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6F5840B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4719045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4E9D441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23ABB9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7FF341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671FD54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F498442">
      <w:pPr>
        <w:pStyle w:val="19"/>
        <w:widowControl/>
        <w:tabs>
          <w:tab w:val="left" w:pos="426"/>
        </w:tabs>
        <w:autoSpaceDE/>
        <w:autoSpaceDN/>
        <w:spacing w:before="120" w:after="120" w:line="276" w:lineRule="auto"/>
        <w:ind w:left="862"/>
        <w:jc w:val="both"/>
        <w:rPr>
          <w:rFonts w:ascii="Arial" w:hAnsi="Arial" w:cs="Arial"/>
          <w:bCs/>
          <w:iCs/>
          <w:lang w:val="pt-BR"/>
        </w:rPr>
      </w:pPr>
    </w:p>
    <w:p w14:paraId="77463090">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0C94FEF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08BBFEB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B24EF3C">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3725A3E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275AAB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23A43192">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8EBA40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A80BBD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7B200A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366E885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7012B6C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3EA2502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1A07DEC9">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24B80FE6">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12168454">
      <w:pPr>
        <w:pStyle w:val="45"/>
        <w:numPr>
          <w:ilvl w:val="1"/>
          <w:numId w:val="3"/>
        </w:numPr>
        <w:rPr>
          <w:sz w:val="22"/>
          <w:szCs w:val="22"/>
        </w:rPr>
      </w:pPr>
      <w:r>
        <w:rPr>
          <w:sz w:val="22"/>
          <w:szCs w:val="22"/>
        </w:rPr>
        <w:t xml:space="preserve">Guardar sigilo sobre todas as informações obtidas em decorrência do cumprimento do contrato; </w:t>
      </w:r>
    </w:p>
    <w:p w14:paraId="455D7E87">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4A5676F">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73120563">
      <w:pPr>
        <w:pStyle w:val="19"/>
        <w:tabs>
          <w:tab w:val="left" w:pos="284"/>
        </w:tabs>
        <w:spacing w:line="276" w:lineRule="auto"/>
        <w:ind w:left="0"/>
        <w:rPr>
          <w:rFonts w:ascii="Arial" w:hAnsi="Arial" w:cs="Arial" w:eastAsiaTheme="majorEastAsia"/>
          <w:b/>
          <w:bCs/>
          <w:lang w:val="pt-BR" w:eastAsia="pt-BR"/>
        </w:rPr>
      </w:pPr>
    </w:p>
    <w:p w14:paraId="287DB607">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461D8BE9">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lang w:val="pt-BR"/>
        </w:rPr>
      </w:pPr>
      <w:r>
        <w:rPr>
          <w:rFonts w:ascii="Arial" w:hAnsi="Arial" w:cs="Arial"/>
          <w:bCs/>
          <w:i w:val="0"/>
          <w:iCs/>
          <w:color w:val="auto"/>
          <w:lang w:val="pt-BR"/>
        </w:rPr>
        <w:t xml:space="preserve">A contratação conta com garantia de execução, nos moldes do </w:t>
      </w:r>
      <w:r>
        <w:rPr>
          <w:i w:val="0"/>
          <w:iCs/>
          <w:color w:val="auto"/>
        </w:rPr>
        <w:fldChar w:fldCharType="begin"/>
      </w:r>
      <w:r>
        <w:rPr>
          <w:i w:val="0"/>
          <w:iCs/>
          <w:color w:val="auto"/>
        </w:rPr>
        <w:instrText xml:space="preserve"> HYPERLINK "http://www.planalto.gov.br/ccivil_03/_ato2019-2022/2021/lei/L14133.htm" \l "art96" </w:instrText>
      </w:r>
      <w:r>
        <w:rPr>
          <w:i w:val="0"/>
          <w:iCs/>
          <w:color w:val="auto"/>
        </w:rPr>
        <w:fldChar w:fldCharType="separate"/>
      </w:r>
      <w:r>
        <w:rPr>
          <w:rFonts w:ascii="Arial" w:hAnsi="Arial" w:cs="Arial"/>
          <w:bCs/>
          <w:i w:val="0"/>
          <w:iCs/>
          <w:color w:val="auto"/>
          <w:lang w:val="pt-BR"/>
        </w:rPr>
        <w:t>art. 96 da Lei nº 14.133</w:t>
      </w:r>
      <w:r>
        <w:rPr>
          <w:rFonts w:ascii="Arial" w:hAnsi="Arial" w:cs="Arial"/>
          <w:bCs/>
          <w:i w:val="0"/>
          <w:iCs/>
          <w:color w:val="auto"/>
          <w:lang w:val="pt-BR"/>
        </w:rPr>
        <w:fldChar w:fldCharType="end"/>
      </w:r>
      <w:r>
        <w:rPr>
          <w:rFonts w:ascii="Arial" w:hAnsi="Arial" w:cs="Arial"/>
          <w:bCs/>
          <w:i w:val="0"/>
          <w:iCs/>
          <w:color w:val="auto"/>
          <w:lang w:val="pt-BR"/>
        </w:rPr>
        <w:t xml:space="preserve">, de 2021, em valor correspondente a </w:t>
      </w:r>
      <w:r>
        <w:rPr>
          <w:rFonts w:hint="default" w:ascii="Arial" w:hAnsi="Arial" w:cs="Arial"/>
          <w:bCs/>
          <w:i w:val="0"/>
          <w:iCs/>
          <w:color w:val="auto"/>
          <w:lang w:val="pt-BR"/>
        </w:rPr>
        <w:t>5</w:t>
      </w:r>
      <w:r>
        <w:rPr>
          <w:rFonts w:ascii="Arial" w:hAnsi="Arial" w:cs="Arial"/>
          <w:bCs/>
          <w:i w:val="0"/>
          <w:iCs/>
          <w:color w:val="auto"/>
          <w:lang w:val="pt-BR"/>
        </w:rPr>
        <w:t>% (</w:t>
      </w:r>
      <w:r>
        <w:rPr>
          <w:rFonts w:hint="default" w:ascii="Arial" w:hAnsi="Arial" w:cs="Arial"/>
          <w:bCs/>
          <w:i w:val="0"/>
          <w:iCs/>
          <w:color w:val="auto"/>
          <w:lang w:val="pt-BR"/>
        </w:rPr>
        <w:t>cinco</w:t>
      </w:r>
      <w:r>
        <w:rPr>
          <w:rFonts w:ascii="Arial" w:hAnsi="Arial" w:cs="Arial"/>
          <w:bCs/>
          <w:i w:val="0"/>
          <w:iCs/>
          <w:color w:val="auto"/>
          <w:lang w:val="pt-BR"/>
        </w:rPr>
        <w:t xml:space="preserve"> por cento) do valor inicial/total/anual do contrato.</w:t>
      </w:r>
    </w:p>
    <w:p w14:paraId="1A45E5A8">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3A1166CD">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267BCB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0233EF4">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615275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284B96B7">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EDE32B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57A062F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1A8FC7F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6DF71D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5FA8187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0D494A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7526CA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307E1BF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74AE0797">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3718760C">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68D46B5">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6032629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557B28B3">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3D08AC59">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248DC27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06C646A9">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042D721F">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0EC5BE4F">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68FB7AA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063BF4F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432B34D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3BF84A8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78AB8193">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1F4907D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4D305503">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5C08571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8C192F">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2AF20D4B">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02C810AC">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7DE8A69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5A0FA96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2399ECB9">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78C52772">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4E6FE7D9">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3A23FB6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2545A8F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58B25C3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520CC12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670291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176E3935">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4603DB1">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0EADAAE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09DCF07D">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70A9461">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7D497886">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2D46D6A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5A422D1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190B3802">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06C88DA6">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6A15116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18695BF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88CE0B5">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6C7D62EC">
      <w:pPr>
        <w:pStyle w:val="34"/>
        <w:numPr>
          <w:ilvl w:val="0"/>
          <w:numId w:val="0"/>
        </w:numPr>
        <w:tabs>
          <w:tab w:val="left" w:pos="284"/>
          <w:tab w:val="left" w:pos="993"/>
        </w:tabs>
        <w:spacing w:line="276" w:lineRule="auto"/>
        <w:ind w:leftChars="0"/>
        <w:rPr>
          <w:rFonts w:hint="default" w:ascii="Arial" w:hAnsi="Arial"/>
          <w:b w:val="0"/>
          <w:bCs w:val="0"/>
          <w:sz w:val="22"/>
          <w:szCs w:val="22"/>
          <w:lang w:val="pt-BR"/>
        </w:rPr>
      </w:pPr>
      <w:r>
        <w:rPr>
          <w:rFonts w:hint="default" w:ascii="Arial" w:hAnsi="Arial" w:cs="Arial"/>
          <w:b w:val="0"/>
          <w:bCs w:val="0"/>
          <w:sz w:val="22"/>
          <w:szCs w:val="22"/>
          <w:lang w:val="pt-BR"/>
        </w:rPr>
        <w:t xml:space="preserve">13.1 </w:t>
      </w:r>
      <w:r>
        <w:rPr>
          <w:rFonts w:hint="default" w:ascii="Arial" w:hAnsi="Arial"/>
          <w:b w:val="0"/>
          <w:bCs w:val="0"/>
          <w:sz w:val="22"/>
          <w:szCs w:val="22"/>
          <w:lang w:val="pt-BR"/>
        </w:rPr>
        <w:t>As despesas decorrentes da presente contratação correrão à conta de recursos específicos consignados no Orçamento do Município, na forma abaixo:</w:t>
      </w:r>
    </w:p>
    <w:tbl>
      <w:tblPr>
        <w:tblStyle w:val="6"/>
        <w:tblW w:w="9771"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0"/>
        <w:gridCol w:w="2751"/>
        <w:gridCol w:w="1725"/>
        <w:gridCol w:w="2055"/>
      </w:tblGrid>
      <w:tr w14:paraId="643EF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3240" w:type="dxa"/>
          </w:tcPr>
          <w:p w14:paraId="5C2D06E3">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Órgão/Unidade</w:t>
            </w:r>
          </w:p>
          <w:p w14:paraId="1E40A4A6">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Orçamentária</w:t>
            </w:r>
          </w:p>
        </w:tc>
        <w:tc>
          <w:tcPr>
            <w:tcW w:w="2751" w:type="dxa"/>
          </w:tcPr>
          <w:p w14:paraId="7F650258">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Programa de Trabalho</w:t>
            </w:r>
          </w:p>
        </w:tc>
        <w:tc>
          <w:tcPr>
            <w:tcW w:w="1725" w:type="dxa"/>
          </w:tcPr>
          <w:p w14:paraId="26716B1B">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Fonte de Recursos</w:t>
            </w:r>
          </w:p>
        </w:tc>
        <w:tc>
          <w:tcPr>
            <w:tcW w:w="2055" w:type="dxa"/>
          </w:tcPr>
          <w:p w14:paraId="2543DEEB">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Natureza da Despesa</w:t>
            </w:r>
          </w:p>
        </w:tc>
      </w:tr>
      <w:tr w14:paraId="4B986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3240" w:type="dxa"/>
            <w:tcBorders>
              <w:bottom w:val="nil"/>
            </w:tcBorders>
          </w:tcPr>
          <w:p w14:paraId="1895C0AD">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Secretaria</w:t>
            </w:r>
            <w:r>
              <w:rPr>
                <w:rFonts w:hint="default" w:ascii="Arial" w:hAnsi="Arial"/>
                <w:b w:val="0"/>
                <w:bCs w:val="0"/>
                <w:sz w:val="22"/>
                <w:szCs w:val="22"/>
                <w:lang w:val="pt-BR"/>
              </w:rPr>
              <w:tab/>
            </w:r>
            <w:r>
              <w:rPr>
                <w:rFonts w:hint="default" w:ascii="Arial" w:hAnsi="Arial"/>
                <w:b w:val="0"/>
                <w:bCs w:val="0"/>
                <w:sz w:val="22"/>
                <w:szCs w:val="22"/>
                <w:lang w:val="pt-BR"/>
              </w:rPr>
              <w:t>de</w:t>
            </w:r>
            <w:r>
              <w:rPr>
                <w:rFonts w:hint="default" w:ascii="Arial" w:hAnsi="Arial"/>
                <w:b w:val="0"/>
                <w:bCs w:val="0"/>
                <w:sz w:val="22"/>
                <w:szCs w:val="22"/>
                <w:lang w:val="pt-BR"/>
              </w:rPr>
              <w:tab/>
            </w:r>
            <w:r>
              <w:rPr>
                <w:rFonts w:hint="default" w:ascii="Arial" w:hAnsi="Arial"/>
                <w:b w:val="0"/>
                <w:bCs w:val="0"/>
                <w:sz w:val="22"/>
                <w:szCs w:val="22"/>
                <w:lang w:val="pt-BR"/>
              </w:rPr>
              <w:t>Ciência,</w:t>
            </w:r>
          </w:p>
        </w:tc>
        <w:tc>
          <w:tcPr>
            <w:tcW w:w="2751" w:type="dxa"/>
            <w:tcBorders>
              <w:bottom w:val="nil"/>
            </w:tcBorders>
          </w:tcPr>
          <w:p w14:paraId="6D2ACA22">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08 003 19 573 0035 2.236</w:t>
            </w:r>
          </w:p>
        </w:tc>
        <w:tc>
          <w:tcPr>
            <w:tcW w:w="1725" w:type="dxa"/>
            <w:tcBorders>
              <w:bottom w:val="nil"/>
            </w:tcBorders>
          </w:tcPr>
          <w:p w14:paraId="773C9C70">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172000000017</w:t>
            </w:r>
          </w:p>
        </w:tc>
        <w:tc>
          <w:tcPr>
            <w:tcW w:w="2055" w:type="dxa"/>
            <w:tcBorders>
              <w:bottom w:val="nil"/>
            </w:tcBorders>
          </w:tcPr>
          <w:p w14:paraId="0F358789">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4.4.90.52.01</w:t>
            </w:r>
          </w:p>
        </w:tc>
      </w:tr>
      <w:tr w14:paraId="5E261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3240" w:type="dxa"/>
            <w:tcBorders>
              <w:top w:val="nil"/>
              <w:bottom w:val="nil"/>
            </w:tcBorders>
          </w:tcPr>
          <w:p w14:paraId="3A502F51">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Tecnologia,</w:t>
            </w:r>
            <w:r>
              <w:rPr>
                <w:rFonts w:hint="default" w:ascii="Arial" w:hAnsi="Arial"/>
                <w:b w:val="0"/>
                <w:bCs w:val="0"/>
                <w:sz w:val="22"/>
                <w:szCs w:val="22"/>
                <w:lang w:val="pt-BR"/>
              </w:rPr>
              <w:tab/>
            </w:r>
            <w:r>
              <w:rPr>
                <w:rFonts w:hint="default" w:ascii="Arial" w:hAnsi="Arial"/>
                <w:b w:val="0"/>
                <w:bCs w:val="0"/>
                <w:sz w:val="22"/>
                <w:szCs w:val="22"/>
                <w:lang w:val="pt-BR"/>
              </w:rPr>
              <w:t>Inovação</w:t>
            </w:r>
            <w:r>
              <w:rPr>
                <w:rFonts w:hint="default" w:ascii="Arial" w:hAnsi="Arial"/>
                <w:b w:val="0"/>
                <w:bCs w:val="0"/>
                <w:sz w:val="22"/>
                <w:szCs w:val="22"/>
                <w:lang w:val="pt-BR"/>
              </w:rPr>
              <w:tab/>
            </w:r>
            <w:r>
              <w:rPr>
                <w:rFonts w:hint="default" w:ascii="Arial" w:hAnsi="Arial"/>
                <w:b w:val="0"/>
                <w:bCs w:val="0"/>
                <w:sz w:val="22"/>
                <w:szCs w:val="22"/>
                <w:lang w:val="pt-BR"/>
              </w:rPr>
              <w:t>e</w:t>
            </w:r>
          </w:p>
        </w:tc>
        <w:tc>
          <w:tcPr>
            <w:tcW w:w="2751" w:type="dxa"/>
            <w:tcBorders>
              <w:top w:val="nil"/>
              <w:bottom w:val="nil"/>
            </w:tcBorders>
          </w:tcPr>
          <w:p w14:paraId="2F29426A">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08 003 19 573 0035 2.236</w:t>
            </w:r>
          </w:p>
        </w:tc>
        <w:tc>
          <w:tcPr>
            <w:tcW w:w="1725" w:type="dxa"/>
            <w:tcBorders>
              <w:top w:val="nil"/>
              <w:bottom w:val="nil"/>
            </w:tcBorders>
          </w:tcPr>
          <w:p w14:paraId="786B5A2B">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172000000017</w:t>
            </w:r>
          </w:p>
        </w:tc>
        <w:tc>
          <w:tcPr>
            <w:tcW w:w="2055" w:type="dxa"/>
            <w:tcBorders>
              <w:top w:val="nil"/>
              <w:bottom w:val="nil"/>
            </w:tcBorders>
          </w:tcPr>
          <w:p w14:paraId="247D10EB">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3.3.90.30.06</w:t>
            </w:r>
          </w:p>
        </w:tc>
      </w:tr>
      <w:tr w14:paraId="42972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240" w:type="dxa"/>
            <w:tcBorders>
              <w:top w:val="nil"/>
            </w:tcBorders>
          </w:tcPr>
          <w:p w14:paraId="332F7D84">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Desenvolvimento Econômico</w:t>
            </w:r>
          </w:p>
        </w:tc>
        <w:tc>
          <w:tcPr>
            <w:tcW w:w="2751" w:type="dxa"/>
            <w:tcBorders>
              <w:top w:val="nil"/>
            </w:tcBorders>
          </w:tcPr>
          <w:p w14:paraId="1DD9943C">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08 003 19 573 0035 2.236</w:t>
            </w:r>
          </w:p>
        </w:tc>
        <w:tc>
          <w:tcPr>
            <w:tcW w:w="1725" w:type="dxa"/>
            <w:tcBorders>
              <w:top w:val="nil"/>
            </w:tcBorders>
          </w:tcPr>
          <w:p w14:paraId="2696FDB6">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172000000017</w:t>
            </w:r>
          </w:p>
        </w:tc>
        <w:tc>
          <w:tcPr>
            <w:tcW w:w="2055" w:type="dxa"/>
            <w:tcBorders>
              <w:top w:val="nil"/>
            </w:tcBorders>
          </w:tcPr>
          <w:p w14:paraId="50B6D76F">
            <w:pPr>
              <w:pStyle w:val="34"/>
              <w:numPr>
                <w:ilvl w:val="0"/>
                <w:numId w:val="0"/>
              </w:numPr>
              <w:tabs>
                <w:tab w:val="left" w:pos="284"/>
                <w:tab w:val="left" w:pos="993"/>
              </w:tabs>
              <w:spacing w:line="276" w:lineRule="auto"/>
              <w:ind w:leftChars="0"/>
              <w:jc w:val="center"/>
              <w:rPr>
                <w:rFonts w:hint="default" w:ascii="Arial" w:hAnsi="Arial"/>
                <w:b w:val="0"/>
                <w:bCs w:val="0"/>
                <w:sz w:val="22"/>
                <w:szCs w:val="22"/>
                <w:lang w:val="pt-BR"/>
              </w:rPr>
            </w:pPr>
            <w:r>
              <w:rPr>
                <w:rFonts w:hint="default" w:ascii="Arial" w:hAnsi="Arial"/>
                <w:b w:val="0"/>
                <w:bCs w:val="0"/>
                <w:sz w:val="22"/>
                <w:szCs w:val="22"/>
                <w:lang w:val="pt-BR"/>
              </w:rPr>
              <w:t>3.3.90.30.18</w:t>
            </w:r>
          </w:p>
        </w:tc>
      </w:tr>
    </w:tbl>
    <w:p w14:paraId="71C78DD1">
      <w:pPr>
        <w:pStyle w:val="34"/>
        <w:numPr>
          <w:ilvl w:val="0"/>
          <w:numId w:val="0"/>
        </w:numPr>
        <w:tabs>
          <w:tab w:val="left" w:pos="284"/>
          <w:tab w:val="left" w:pos="993"/>
        </w:tabs>
        <w:spacing w:line="276" w:lineRule="auto"/>
        <w:ind w:leftChars="0"/>
        <w:rPr>
          <w:rFonts w:hint="default" w:ascii="Arial" w:hAnsi="Arial" w:cs="Arial"/>
          <w:sz w:val="22"/>
          <w:szCs w:val="22"/>
          <w:lang w:val="pt-BR"/>
        </w:rPr>
      </w:pPr>
      <w:r>
        <w:rPr>
          <w:rFonts w:hint="default" w:ascii="Arial" w:hAnsi="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14:paraId="08DA586B">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7A1C231E">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46B19766">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21612EBE">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218D910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665BE79A">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07F474D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1299ABA">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90EA7A">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5BA1075D">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027CEEE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03692941">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4D913AF2">
      <w:pPr>
        <w:spacing w:before="120" w:after="120" w:line="276" w:lineRule="auto"/>
        <w:jc w:val="both"/>
        <w:rPr>
          <w:rFonts w:ascii="Arial" w:hAnsi="Arial" w:cs="Arial"/>
        </w:rPr>
      </w:pPr>
    </w:p>
    <w:p w14:paraId="3FE16FCA">
      <w:pPr>
        <w:spacing w:after="120" w:line="360" w:lineRule="auto"/>
        <w:ind w:right="-15"/>
        <w:jc w:val="right"/>
        <w:rPr>
          <w:rFonts w:ascii="Arial" w:hAnsi="Arial" w:cs="Arial"/>
        </w:rPr>
      </w:pPr>
      <w:r>
        <w:rPr>
          <w:rFonts w:ascii="Arial" w:hAnsi="Arial" w:cs="Arial"/>
        </w:rPr>
        <w:t>...........................................,  .......... de.......................................... de 2026.</w:t>
      </w:r>
    </w:p>
    <w:p w14:paraId="15F5E5E1">
      <w:pPr>
        <w:spacing w:after="120"/>
        <w:jc w:val="center"/>
        <w:rPr>
          <w:rFonts w:ascii="Arial" w:hAnsi="Arial" w:cs="Arial"/>
          <w:bCs/>
        </w:rPr>
      </w:pPr>
    </w:p>
    <w:p w14:paraId="6836B843">
      <w:pPr>
        <w:spacing w:after="120"/>
        <w:jc w:val="center"/>
        <w:rPr>
          <w:rFonts w:ascii="Arial" w:hAnsi="Arial" w:cs="Arial"/>
          <w:bCs/>
        </w:rPr>
      </w:pPr>
      <w:r>
        <w:rPr>
          <w:rFonts w:ascii="Arial" w:hAnsi="Arial" w:cs="Arial"/>
          <w:bCs/>
        </w:rPr>
        <w:t>_________________________</w:t>
      </w:r>
    </w:p>
    <w:p w14:paraId="0DFA3B4D">
      <w:pPr>
        <w:spacing w:after="120"/>
        <w:jc w:val="center"/>
        <w:rPr>
          <w:rFonts w:ascii="Arial" w:hAnsi="Arial" w:cs="Arial"/>
          <w:bCs/>
        </w:rPr>
      </w:pPr>
      <w:r>
        <w:rPr>
          <w:rFonts w:ascii="Arial" w:hAnsi="Arial" w:cs="Arial"/>
          <w:bCs/>
        </w:rPr>
        <w:t>Responsável legal da CONTRATANTE</w:t>
      </w:r>
    </w:p>
    <w:p w14:paraId="2A6CFD56">
      <w:pPr>
        <w:spacing w:after="120"/>
        <w:jc w:val="center"/>
        <w:rPr>
          <w:rFonts w:ascii="Arial" w:hAnsi="Arial" w:cs="Arial"/>
        </w:rPr>
      </w:pPr>
    </w:p>
    <w:p w14:paraId="1901C9DD">
      <w:pPr>
        <w:spacing w:after="120"/>
        <w:jc w:val="center"/>
        <w:rPr>
          <w:rFonts w:ascii="Arial" w:hAnsi="Arial" w:cs="Arial"/>
        </w:rPr>
      </w:pPr>
      <w:r>
        <w:rPr>
          <w:rFonts w:ascii="Arial" w:hAnsi="Arial" w:cs="Arial"/>
        </w:rPr>
        <w:t>_________________________</w:t>
      </w:r>
    </w:p>
    <w:p w14:paraId="1B5139D4">
      <w:pPr>
        <w:spacing w:after="120"/>
        <w:jc w:val="center"/>
        <w:rPr>
          <w:rFonts w:ascii="Arial" w:hAnsi="Arial" w:cs="Arial"/>
        </w:rPr>
      </w:pPr>
      <w:r>
        <w:rPr>
          <w:rFonts w:ascii="Arial" w:hAnsi="Arial" w:cs="Arial"/>
        </w:rPr>
        <w:t>Responsável legal da CONTRATADA</w:t>
      </w:r>
    </w:p>
    <w:p w14:paraId="48E73786">
      <w:pPr>
        <w:spacing w:after="120"/>
        <w:jc w:val="both"/>
        <w:rPr>
          <w:rFonts w:ascii="Arial" w:hAnsi="Arial" w:cs="Arial"/>
        </w:rPr>
      </w:pPr>
    </w:p>
    <w:p w14:paraId="1269B17A">
      <w:pPr>
        <w:spacing w:after="120"/>
        <w:jc w:val="both"/>
        <w:rPr>
          <w:rFonts w:ascii="Arial" w:hAnsi="Arial" w:cs="Arial"/>
        </w:rPr>
      </w:pPr>
      <w:r>
        <w:rPr>
          <w:rFonts w:ascii="Arial" w:hAnsi="Arial" w:cs="Arial"/>
        </w:rPr>
        <w:t>TESTEMUNHAS:</w:t>
      </w:r>
    </w:p>
    <w:p w14:paraId="5978816E">
      <w:pPr>
        <w:spacing w:after="120"/>
        <w:jc w:val="both"/>
        <w:rPr>
          <w:rFonts w:ascii="Arial" w:hAnsi="Arial" w:cs="Arial"/>
        </w:rPr>
      </w:pPr>
      <w:r>
        <w:rPr>
          <w:rFonts w:ascii="Arial" w:hAnsi="Arial" w:cs="Arial"/>
        </w:rPr>
        <w:t>1-</w:t>
      </w:r>
    </w:p>
    <w:p w14:paraId="4F647F95">
      <w:pPr>
        <w:spacing w:after="120"/>
        <w:jc w:val="both"/>
        <w:rPr>
          <w:rFonts w:ascii="Arial" w:hAnsi="Arial" w:cs="Arial"/>
        </w:rPr>
      </w:pPr>
      <w:r>
        <w:rPr>
          <w:rFonts w:ascii="Arial" w:hAnsi="Arial" w:cs="Arial"/>
        </w:rPr>
        <w:t>2-</w:t>
      </w:r>
    </w:p>
    <w:p w14:paraId="5F63AD9A">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5853">
    <w:pPr>
      <w:pStyle w:val="15"/>
      <w:jc w:val="center"/>
      <w:rPr>
        <w:rFonts w:ascii="Azo Sans Md" w:hAnsi="Azo Sans Md"/>
        <w:b/>
        <w:bCs/>
        <w:color w:val="000000"/>
        <w:sz w:val="18"/>
        <w:szCs w:val="18"/>
      </w:rPr>
    </w:pPr>
  </w:p>
  <w:p w14:paraId="4648C1E9">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3EAB94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6A6308E">
    <w:pPr>
      <w:pStyle w:val="15"/>
      <w:jc w:val="center"/>
      <w:rPr>
        <w:rFonts w:ascii="Arial" w:hAnsi="Arial" w:cs="Arial"/>
        <w:color w:val="000000"/>
        <w:sz w:val="18"/>
        <w:szCs w:val="18"/>
      </w:rPr>
    </w:pPr>
    <w:r>
      <w:rPr>
        <w:rFonts w:ascii="Arial" w:hAnsi="Arial" w:cs="Arial"/>
        <w:color w:val="000000"/>
        <w:sz w:val="18"/>
        <w:szCs w:val="18"/>
      </w:rPr>
      <w:t>(22) 2525-9101</w:t>
    </w:r>
  </w:p>
  <w:p w14:paraId="6FEC68D5">
    <w:pPr>
      <w:pStyle w:val="15"/>
      <w:jc w:val="center"/>
      <w:rPr>
        <w:rFonts w:ascii="Arial" w:hAnsi="Arial" w:cs="Arial"/>
        <w:color w:val="000000"/>
        <w:sz w:val="18"/>
        <w:szCs w:val="18"/>
      </w:rPr>
    </w:pPr>
  </w:p>
  <w:p w14:paraId="54ED8045">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C5980">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B5E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584D3">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8815" cy="951865"/>
          <wp:effectExtent l="0" t="0" r="0" b="0"/>
          <wp:docPr id="1" name="Imagem 1" descr="Secretaria de Ciência, Tecnologia, Inovação e Desenvolvimento Econô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Ciência, Tecnologia, Inovação e Desenvolvimento Econômico"/>
                  <pic:cNvPicPr>
                    <a:picLocks noChangeAspect="1"/>
                  </pic:cNvPicPr>
                </pic:nvPicPr>
                <pic:blipFill>
                  <a:blip r:embed="rId1"/>
                  <a:stretch>
                    <a:fillRect/>
                  </a:stretch>
                </pic:blipFill>
                <pic:spPr>
                  <a:xfrm>
                    <a:off x="0" y="0"/>
                    <a:ext cx="5758815" cy="951865"/>
                  </a:xfrm>
                  <a:prstGeom prst="rect">
                    <a:avLst/>
                  </a:prstGeom>
                </pic:spPr>
              </pic:pic>
            </a:graphicData>
          </a:graphic>
        </wp:inline>
      </w:drawing>
    </w:r>
  </w:p>
  <w:p w14:paraId="30D4F09A">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6CAC13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D8EF">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9FFCC">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3E94FBB"/>
    <w:rsid w:val="092B4C96"/>
    <w:rsid w:val="0FB3023A"/>
    <w:rsid w:val="11CC2ACE"/>
    <w:rsid w:val="16FA5342"/>
    <w:rsid w:val="1AF72D93"/>
    <w:rsid w:val="1DF9509F"/>
    <w:rsid w:val="1FD12E07"/>
    <w:rsid w:val="2D2D3063"/>
    <w:rsid w:val="32DB22C6"/>
    <w:rsid w:val="3C4D19A5"/>
    <w:rsid w:val="3C9967A2"/>
    <w:rsid w:val="3D361311"/>
    <w:rsid w:val="4AC662CE"/>
    <w:rsid w:val="4F3969E2"/>
    <w:rsid w:val="501F24D5"/>
    <w:rsid w:val="557E6A55"/>
    <w:rsid w:val="57774658"/>
    <w:rsid w:val="57C1315C"/>
    <w:rsid w:val="5A782967"/>
    <w:rsid w:val="5C237373"/>
    <w:rsid w:val="623C6820"/>
    <w:rsid w:val="63AC2636"/>
    <w:rsid w:val="655965EF"/>
    <w:rsid w:val="68532C20"/>
    <w:rsid w:val="68F87150"/>
    <w:rsid w:val="6A1F5A25"/>
    <w:rsid w:val="6BC07247"/>
    <w:rsid w:val="749B1192"/>
    <w:rsid w:val="74C37714"/>
    <w:rsid w:val="77B2358A"/>
    <w:rsid w:val="7B68630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roseane.rosa</cp:lastModifiedBy>
  <cp:lastPrinted>2023-08-22T17:19:00Z</cp:lastPrinted>
  <dcterms:modified xsi:type="dcterms:W3CDTF">2026-08-11T14:48:56Z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